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F0" w:rsidRDefault="00727609">
      <w:pPr>
        <w:ind w:left="705" w:hanging="705"/>
        <w:rPr>
          <w:b/>
          <w:bCs/>
        </w:rPr>
      </w:pPr>
      <w:r w:rsidRPr="00727609">
        <w:rPr>
          <w:b/>
          <w:bCs/>
          <w:noProof/>
        </w:rPr>
        <w:drawing>
          <wp:inline distT="0" distB="0" distL="0" distR="0">
            <wp:extent cx="6030595" cy="45787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0F0" w:rsidRPr="00A170F0" w:rsidRDefault="00DD3680" w:rsidP="00A170F0">
      <w:pPr>
        <w:jc w:val="right"/>
      </w:pPr>
      <w:r>
        <w:rPr>
          <w:b/>
          <w:bCs/>
        </w:rPr>
        <w:t xml:space="preserve">       </w:t>
      </w:r>
    </w:p>
    <w:p w:rsidR="00312BB0" w:rsidRDefault="00312BB0" w:rsidP="006307C3">
      <w:pPr>
        <w:ind w:left="705" w:hanging="705"/>
        <w:jc w:val="right"/>
      </w:pPr>
    </w:p>
    <w:p w:rsidR="00822601" w:rsidRDefault="00822601" w:rsidP="00822601">
      <w:pPr>
        <w:ind w:left="705" w:hanging="705"/>
        <w:jc w:val="right"/>
      </w:pPr>
    </w:p>
    <w:p w:rsidR="00263797" w:rsidRPr="00BF652D" w:rsidRDefault="00263797" w:rsidP="00263797">
      <w:pPr>
        <w:jc w:val="center"/>
        <w:rPr>
          <w:b/>
        </w:rPr>
      </w:pPr>
      <w:r>
        <w:rPr>
          <w:b/>
        </w:rPr>
        <w:t>Порядок и у</w:t>
      </w:r>
      <w:r w:rsidRPr="00BF652D">
        <w:rPr>
          <w:b/>
        </w:rPr>
        <w:t xml:space="preserve">словия осуществления операций по переводу денежных средств </w:t>
      </w:r>
    </w:p>
    <w:p w:rsidR="00263797" w:rsidRDefault="00263797" w:rsidP="00263797">
      <w:pPr>
        <w:jc w:val="center"/>
        <w:rPr>
          <w:b/>
        </w:rPr>
      </w:pPr>
      <w:r w:rsidRPr="00BF652D">
        <w:rPr>
          <w:b/>
        </w:rPr>
        <w:t>по поручению физических лиц без открытия банковского счета</w:t>
      </w:r>
    </w:p>
    <w:p w:rsidR="00263797" w:rsidRPr="00263797" w:rsidRDefault="00263797" w:rsidP="00263797">
      <w:pPr>
        <w:ind w:right="-49"/>
        <w:jc w:val="center"/>
        <w:rPr>
          <w:rFonts w:eastAsia="Calibri"/>
          <w:bCs/>
          <w:i/>
          <w:iCs/>
          <w:sz w:val="18"/>
          <w:szCs w:val="18"/>
        </w:rPr>
      </w:pPr>
      <w:r w:rsidRPr="00263797">
        <w:rPr>
          <w:i/>
          <w:sz w:val="18"/>
          <w:szCs w:val="18"/>
        </w:rPr>
        <w:t xml:space="preserve">(выписка из </w:t>
      </w:r>
      <w:r w:rsidRPr="00263797">
        <w:rPr>
          <w:i/>
          <w:color w:val="000000"/>
          <w:sz w:val="18"/>
          <w:szCs w:val="18"/>
        </w:rPr>
        <w:t>Регламент</w:t>
      </w:r>
      <w:r w:rsidRPr="00263797">
        <w:rPr>
          <w:i/>
          <w:color w:val="000000"/>
          <w:sz w:val="18"/>
          <w:szCs w:val="18"/>
        </w:rPr>
        <w:t>а</w:t>
      </w:r>
      <w:r w:rsidRPr="00263797">
        <w:rPr>
          <w:i/>
          <w:color w:val="000000"/>
          <w:sz w:val="18"/>
          <w:szCs w:val="18"/>
        </w:rPr>
        <w:t xml:space="preserve"> осуществления</w:t>
      </w:r>
      <w:r>
        <w:rPr>
          <w:i/>
          <w:color w:val="000000"/>
          <w:sz w:val="18"/>
          <w:szCs w:val="18"/>
        </w:rPr>
        <w:t xml:space="preserve"> </w:t>
      </w:r>
      <w:r w:rsidRPr="00263797">
        <w:rPr>
          <w:i/>
          <w:color w:val="000000"/>
          <w:sz w:val="18"/>
          <w:szCs w:val="18"/>
        </w:rPr>
        <w:t>в АО БАНК «МОСКВА-СИТИ»</w:t>
      </w:r>
      <w:r>
        <w:rPr>
          <w:i/>
          <w:color w:val="000000"/>
          <w:sz w:val="18"/>
          <w:szCs w:val="18"/>
        </w:rPr>
        <w:t xml:space="preserve"> </w:t>
      </w:r>
      <w:r w:rsidRPr="00263797">
        <w:rPr>
          <w:rFonts w:eastAsia="Calibri"/>
          <w:bCs/>
          <w:i/>
          <w:iCs/>
          <w:sz w:val="18"/>
          <w:szCs w:val="18"/>
        </w:rPr>
        <w:t>операций по переводу денежных средств по поручению физических лиц без открытия банковского счета</w:t>
      </w:r>
      <w:r w:rsidRPr="00263797">
        <w:rPr>
          <w:rFonts w:eastAsia="Calibri"/>
          <w:bCs/>
          <w:i/>
          <w:iCs/>
          <w:sz w:val="18"/>
          <w:szCs w:val="18"/>
        </w:rPr>
        <w:t>, утвержденного решением Правления Банка 09.10.2023)</w:t>
      </w:r>
    </w:p>
    <w:p w:rsidR="00263797" w:rsidRPr="00BF652D" w:rsidRDefault="00263797" w:rsidP="00263797">
      <w:pPr>
        <w:jc w:val="center"/>
        <w:rPr>
          <w:b/>
        </w:rPr>
      </w:pPr>
    </w:p>
    <w:p w:rsidR="00263797" w:rsidRPr="00BF652D" w:rsidRDefault="00263797" w:rsidP="00263797">
      <w:pPr>
        <w:rPr>
          <w:b/>
        </w:rPr>
      </w:pPr>
    </w:p>
    <w:p w:rsidR="002D0103" w:rsidRPr="002D0103" w:rsidRDefault="002D0103" w:rsidP="002D0103">
      <w:pPr>
        <w:numPr>
          <w:ilvl w:val="0"/>
          <w:numId w:val="14"/>
        </w:numPr>
        <w:jc w:val="both"/>
        <w:rPr>
          <w:lang w:val="x-none"/>
        </w:rPr>
      </w:pPr>
      <w:r w:rsidRPr="002D0103">
        <w:rPr>
          <w:b/>
        </w:rPr>
        <w:t>Денежные переводы и платежи по поручению физических лиц без открытия ими банковских счетов не подлежат страхованию</w:t>
      </w:r>
      <w:r w:rsidRPr="002D0103">
        <w:t xml:space="preserve"> Государственной корпорацией «Агентство по страхованию вкладов» (номер в реестре 207 от 25.11.2004 г.) согласно условиям, установленным Федеральным законом РФ от 23.12.2003 г. № 177-ФЗ «О страховании вкладов физических лиц в банках Российской Федерации».</w:t>
      </w:r>
    </w:p>
    <w:p w:rsidR="002D0103" w:rsidRPr="002D0103" w:rsidRDefault="002D0103" w:rsidP="002D0103">
      <w:pPr>
        <w:numPr>
          <w:ilvl w:val="0"/>
          <w:numId w:val="14"/>
        </w:numPr>
        <w:jc w:val="both"/>
        <w:rPr>
          <w:lang w:val="x-none"/>
        </w:rPr>
      </w:pPr>
    </w:p>
    <w:p w:rsidR="00263797" w:rsidRPr="00BF652D" w:rsidRDefault="00263797" w:rsidP="002D0103">
      <w:pPr>
        <w:numPr>
          <w:ilvl w:val="0"/>
          <w:numId w:val="14"/>
        </w:numPr>
        <w:jc w:val="both"/>
        <w:rPr>
          <w:lang w:val="x-none"/>
        </w:rPr>
      </w:pPr>
      <w:r w:rsidRPr="00BF652D">
        <w:t xml:space="preserve">АО БАНК «МОСКВА-СИТИ» (далее по тексту – Банк) </w:t>
      </w:r>
      <w:r w:rsidRPr="00BF652D">
        <w:rPr>
          <w:lang w:val="x-none"/>
        </w:rPr>
        <w:t>осуществляют следующие виды переводов/платежей:</w:t>
      </w:r>
    </w:p>
    <w:p w:rsidR="00263797" w:rsidRPr="00BF652D" w:rsidRDefault="00263797" w:rsidP="00263797">
      <w:pPr>
        <w:numPr>
          <w:ilvl w:val="0"/>
          <w:numId w:val="14"/>
        </w:numPr>
        <w:ind w:firstLine="540"/>
        <w:jc w:val="both"/>
        <w:rPr>
          <w:lang w:val="x-none"/>
        </w:rPr>
      </w:pPr>
      <w:r w:rsidRPr="00BF652D">
        <w:rPr>
          <w:lang w:val="x-none"/>
        </w:rPr>
        <w:t xml:space="preserve">- </w:t>
      </w:r>
      <w:r w:rsidRPr="00BF652D">
        <w:rPr>
          <w:color w:val="000000"/>
          <w:lang w:val="x-none"/>
        </w:rPr>
        <w:t>Перевод от  физического лица без открытия банковского счета  в адрес другого физического лица для выплаты наличными денежными средствами;</w:t>
      </w:r>
    </w:p>
    <w:p w:rsidR="00263797" w:rsidRPr="00BF652D" w:rsidRDefault="00263797" w:rsidP="00263797">
      <w:pPr>
        <w:widowControl w:val="0"/>
        <w:numPr>
          <w:ilvl w:val="0"/>
          <w:numId w:val="14"/>
        </w:numPr>
        <w:ind w:firstLine="540"/>
        <w:jc w:val="both"/>
        <w:rPr>
          <w:color w:val="000000"/>
        </w:rPr>
      </w:pPr>
      <w:r w:rsidRPr="00BF652D">
        <w:rPr>
          <w:color w:val="000000"/>
        </w:rPr>
        <w:t>- Перевод от физического лица без открытия банковского счета в адрес другого физического лица для зачисления на банковский счет;</w:t>
      </w:r>
    </w:p>
    <w:p w:rsidR="00263797" w:rsidRPr="00BF652D" w:rsidRDefault="00263797" w:rsidP="00263797">
      <w:pPr>
        <w:numPr>
          <w:ilvl w:val="0"/>
          <w:numId w:val="14"/>
        </w:numPr>
        <w:rPr>
          <w:color w:val="000000"/>
        </w:rPr>
      </w:pPr>
      <w:r w:rsidRPr="00BF652D">
        <w:rPr>
          <w:color w:val="000000"/>
        </w:rPr>
        <w:t xml:space="preserve">      -  Перевод от физического лица без открытия банковского счета на собственные счета;</w:t>
      </w:r>
    </w:p>
    <w:p w:rsidR="00263797" w:rsidRPr="00BF652D" w:rsidRDefault="00263797" w:rsidP="00263797">
      <w:pPr>
        <w:widowControl w:val="0"/>
        <w:numPr>
          <w:ilvl w:val="0"/>
          <w:numId w:val="14"/>
        </w:numPr>
        <w:ind w:firstLine="540"/>
        <w:jc w:val="both"/>
        <w:rPr>
          <w:color w:val="000000"/>
        </w:rPr>
      </w:pPr>
      <w:r w:rsidRPr="00BF652D">
        <w:rPr>
          <w:color w:val="000000"/>
        </w:rPr>
        <w:t>-  Перевод от физического лица без открытия банковского счета в адрес юридического лица для зачисления на банковский счет во исполнение финансовых обязательств;</w:t>
      </w:r>
    </w:p>
    <w:p w:rsidR="00263797" w:rsidRPr="00BF652D" w:rsidRDefault="00263797" w:rsidP="00263797">
      <w:pPr>
        <w:widowControl w:val="0"/>
        <w:numPr>
          <w:ilvl w:val="0"/>
          <w:numId w:val="14"/>
        </w:numPr>
        <w:ind w:firstLine="540"/>
        <w:jc w:val="both"/>
        <w:rPr>
          <w:color w:val="000000"/>
        </w:rPr>
      </w:pPr>
      <w:r w:rsidRPr="00BF652D">
        <w:rPr>
          <w:color w:val="000000"/>
        </w:rPr>
        <w:t xml:space="preserve">- Перевод от физического лица без открытия банковского счета в уплату налогов, сборов и иных платежей в бюджетную систему РФ.  </w:t>
      </w:r>
    </w:p>
    <w:p w:rsidR="00263797" w:rsidRPr="00BF652D" w:rsidRDefault="00263797" w:rsidP="00263797">
      <w:pPr>
        <w:widowControl w:val="0"/>
        <w:numPr>
          <w:ilvl w:val="0"/>
          <w:numId w:val="14"/>
        </w:numPr>
        <w:ind w:firstLine="540"/>
        <w:jc w:val="both"/>
        <w:rPr>
          <w:color w:val="000000"/>
        </w:rPr>
      </w:pPr>
      <w:r w:rsidRPr="00BF652D">
        <w:rPr>
          <w:color w:val="000000"/>
        </w:rPr>
        <w:t xml:space="preserve">Банк не осуществляет услуг по выдаче денежных переводов, поступивших в адрес физических лиц без открытия банковского счета (кроме переводов, поступивших по платежным системам). Денежные средства, поступившие на </w:t>
      </w:r>
      <w:proofErr w:type="spellStart"/>
      <w:r w:rsidRPr="00BF652D">
        <w:rPr>
          <w:color w:val="000000"/>
        </w:rPr>
        <w:t>корреспонденский</w:t>
      </w:r>
      <w:proofErr w:type="spellEnd"/>
      <w:r w:rsidRPr="00BF652D">
        <w:rPr>
          <w:color w:val="000000"/>
        </w:rPr>
        <w:t xml:space="preserve"> счет Банка для выплаты наличными денежными средствами физическому лицу без открытия счета, Банк возвращает отправителю перевода не позднее следующего рабочего дня.</w:t>
      </w:r>
    </w:p>
    <w:p w:rsidR="00263797" w:rsidRPr="00BF652D" w:rsidRDefault="00263797" w:rsidP="00263797">
      <w:pPr>
        <w:rPr>
          <w:b/>
        </w:rPr>
      </w:pPr>
    </w:p>
    <w:p w:rsidR="00263797" w:rsidRPr="002D0103" w:rsidRDefault="00263797" w:rsidP="00263797">
      <w:pPr>
        <w:ind w:firstLine="708"/>
        <w:jc w:val="both"/>
        <w:rPr>
          <w:b/>
        </w:rPr>
      </w:pPr>
      <w:r w:rsidRPr="002D0103">
        <w:rPr>
          <w:b/>
        </w:rPr>
        <w:t>Особенности проведения операции при приеме Денежных переводов в иностранной валюте и в рублях из Российской Федерации:</w:t>
      </w:r>
    </w:p>
    <w:p w:rsidR="00263797" w:rsidRPr="00BF652D" w:rsidRDefault="00263797" w:rsidP="00263797">
      <w:pPr>
        <w:ind w:firstLine="708"/>
        <w:jc w:val="both"/>
      </w:pPr>
      <w:r w:rsidRPr="00BF652D">
        <w:t>В соответствии с действующим законодательством Российской Федерации:</w:t>
      </w:r>
    </w:p>
    <w:p w:rsidR="00263797" w:rsidRPr="00BF652D" w:rsidRDefault="00263797" w:rsidP="00263797">
      <w:pPr>
        <w:ind w:firstLine="708"/>
        <w:jc w:val="both"/>
      </w:pPr>
      <w:r w:rsidRPr="00BF652D">
        <w:t>По территории России переводы в валюте РФ осуществляются без ограничения суммы.</w:t>
      </w:r>
    </w:p>
    <w:p w:rsidR="00263797" w:rsidRDefault="00263797" w:rsidP="00263797">
      <w:pPr>
        <w:ind w:firstLine="708"/>
        <w:jc w:val="both"/>
      </w:pPr>
      <w:r w:rsidRPr="00BF652D">
        <w:t>Денежные переводы в иностранной валюте по территории РФ осуществляются с учетом требований Федерального закона №173-ФЗ от 10.12.2003 г.</w:t>
      </w:r>
    </w:p>
    <w:p w:rsidR="00263797" w:rsidRPr="00BF652D" w:rsidRDefault="00263797" w:rsidP="00263797">
      <w:pPr>
        <w:ind w:firstLine="708"/>
        <w:jc w:val="both"/>
      </w:pPr>
      <w:r w:rsidRPr="00BF652D">
        <w:t xml:space="preserve">Если Отправитель является резидентом, то он не имеет права осуществить перевод из Российской Федерации на общую сумму, превышающую в рублевом эквиваленте 5000 (Пять тысяч) долларов США, определяемую с использованием официальных курсов иностранных валют к рублю, установленных Банком России на дату осуществления перевода, за один операционный день. </w:t>
      </w:r>
    </w:p>
    <w:p w:rsidR="00263797" w:rsidRPr="00BF652D" w:rsidRDefault="00263797" w:rsidP="00263797">
      <w:pPr>
        <w:ind w:firstLine="708"/>
        <w:jc w:val="both"/>
      </w:pPr>
      <w:r w:rsidRPr="00BF652D">
        <w:t>Если Отправитель нерезидент, то переводы осуществляются без ограничений суммы.</w:t>
      </w:r>
    </w:p>
    <w:p w:rsidR="00263797" w:rsidRPr="00BF652D" w:rsidRDefault="00263797" w:rsidP="00263797">
      <w:pPr>
        <w:ind w:firstLine="708"/>
        <w:jc w:val="both"/>
      </w:pPr>
      <w:r w:rsidRPr="00BF652D">
        <w:t>Банком России на срок не более шести месяцев могут быть установлены (ограничены) иные требования к суммам и порядку проведению кредитными организациями операций по переводу денежных средств в иностранной валюте и рублях из Российской Федерации. По территории России переводы в валюте РФ осуществляются без ограничения суммы.</w:t>
      </w:r>
    </w:p>
    <w:p w:rsidR="00263797" w:rsidRPr="00BF652D" w:rsidRDefault="00263797" w:rsidP="00263797">
      <w:pPr>
        <w:jc w:val="both"/>
      </w:pPr>
    </w:p>
    <w:p w:rsidR="00263797" w:rsidRPr="00BF652D" w:rsidRDefault="00263797" w:rsidP="00263797">
      <w:pPr>
        <w:tabs>
          <w:tab w:val="left" w:pos="6900"/>
        </w:tabs>
        <w:jc w:val="both"/>
        <w:rPr>
          <w:b/>
        </w:rPr>
      </w:pPr>
      <w:r w:rsidRPr="00BF652D">
        <w:rPr>
          <w:b/>
        </w:rPr>
        <w:lastRenderedPageBreak/>
        <w:t>Для осуществления Денежного перевода требуется:</w:t>
      </w:r>
      <w:r w:rsidRPr="00BF652D">
        <w:rPr>
          <w:b/>
        </w:rPr>
        <w:tab/>
      </w:r>
    </w:p>
    <w:p w:rsidR="00263797" w:rsidRPr="00BF652D" w:rsidRDefault="00263797" w:rsidP="009C10E8">
      <w:pPr>
        <w:numPr>
          <w:ilvl w:val="0"/>
          <w:numId w:val="15"/>
        </w:numPr>
        <w:ind w:left="0" w:firstLine="567"/>
        <w:contextualSpacing/>
        <w:jc w:val="both"/>
      </w:pPr>
      <w:r w:rsidRPr="00BF652D">
        <w:t xml:space="preserve">Заполнить/подписать бланк «Заявления на перевод денежных средств без открытия счета» и предоставить его сотруднику банка. </w:t>
      </w:r>
    </w:p>
    <w:p w:rsidR="00263797" w:rsidRPr="00BF652D" w:rsidRDefault="00263797" w:rsidP="009C10E8">
      <w:pPr>
        <w:numPr>
          <w:ilvl w:val="0"/>
          <w:numId w:val="15"/>
        </w:numPr>
        <w:ind w:left="0" w:firstLine="567"/>
        <w:contextualSpacing/>
        <w:jc w:val="both"/>
      </w:pPr>
      <w:r w:rsidRPr="00BF652D">
        <w:t xml:space="preserve">Предъявить паспорт или иной документ, удостоверяющий личность.  </w:t>
      </w:r>
    </w:p>
    <w:p w:rsidR="00263797" w:rsidRPr="00BF652D" w:rsidRDefault="00263797" w:rsidP="009C10E8">
      <w:pPr>
        <w:numPr>
          <w:ilvl w:val="0"/>
          <w:numId w:val="15"/>
        </w:numPr>
        <w:ind w:left="0" w:firstLine="567"/>
        <w:contextualSpacing/>
        <w:jc w:val="both"/>
        <w:rPr>
          <w:color w:val="000000"/>
        </w:rPr>
      </w:pPr>
      <w:r w:rsidRPr="00BF652D">
        <w:t>Предъявить доверенность, оформленную в надлежащем порядке - в</w:t>
      </w:r>
      <w:r w:rsidRPr="00BF652D">
        <w:rPr>
          <w:color w:val="000000"/>
        </w:rPr>
        <w:t xml:space="preserve"> том случае, если возврат Денежного перевода осуществляется представителю Получателя. </w:t>
      </w:r>
    </w:p>
    <w:p w:rsidR="00263797" w:rsidRPr="00BF652D" w:rsidRDefault="00263797" w:rsidP="009C10E8">
      <w:pPr>
        <w:numPr>
          <w:ilvl w:val="0"/>
          <w:numId w:val="15"/>
        </w:numPr>
        <w:ind w:left="0" w:firstLine="567"/>
        <w:jc w:val="both"/>
      </w:pPr>
      <w:r w:rsidRPr="00BF652D">
        <w:rPr>
          <w:lang w:val="x-none"/>
        </w:rPr>
        <w:t xml:space="preserve">При переводе </w:t>
      </w:r>
      <w:r w:rsidRPr="00BF652D">
        <w:rPr>
          <w:bCs/>
          <w:lang w:val="x-none"/>
        </w:rPr>
        <w:t>резидентами</w:t>
      </w:r>
      <w:r w:rsidRPr="00BF652D">
        <w:rPr>
          <w:b/>
          <w:bCs/>
        </w:rPr>
        <w:t xml:space="preserve"> </w:t>
      </w:r>
      <w:r w:rsidRPr="00BF652D">
        <w:rPr>
          <w:lang w:val="x-none"/>
        </w:rPr>
        <w:t xml:space="preserve">иностранной валюты и валюты РФ из Российской Федерации на их счета, открытые в иностранных банках, в порядке установленном Банком России  - экземпляр Уведомления об открытии </w:t>
      </w:r>
      <w:r w:rsidRPr="00BF652D">
        <w:t>с</w:t>
      </w:r>
      <w:r w:rsidRPr="00BF652D">
        <w:rPr>
          <w:lang w:val="x-none"/>
        </w:rPr>
        <w:t>чета, направляемый резидентом в территориальный орган Федеральной налоговой службы по месту жительства резидента, с отметкой налогового органа о получении Уведомления, в случае установления требования о предварительной регистрации счета – регистрационный документ установленной формы.</w:t>
      </w:r>
    </w:p>
    <w:p w:rsidR="00263797" w:rsidRPr="00BF652D" w:rsidRDefault="00263797" w:rsidP="009C10E8">
      <w:pPr>
        <w:numPr>
          <w:ilvl w:val="0"/>
          <w:numId w:val="15"/>
        </w:numPr>
        <w:tabs>
          <w:tab w:val="left" w:pos="851"/>
        </w:tabs>
        <w:ind w:left="0" w:firstLine="567"/>
        <w:contextualSpacing/>
        <w:jc w:val="both"/>
      </w:pPr>
      <w:r w:rsidRPr="00BF652D">
        <w:t>При необходимости представить, надлежащим образом, заверенные документы и информацию по запросу Банка в целях выполнения требований действующего законодательства и действующих нормативн</w:t>
      </w:r>
      <w:bookmarkStart w:id="0" w:name="_GoBack"/>
      <w:bookmarkEnd w:id="0"/>
      <w:r w:rsidRPr="00BF652D">
        <w:t>ых актов РФ по противодействию легализации (отмыванию) доходов, полученных преступным путем, и финансированию терроризма.</w:t>
      </w:r>
    </w:p>
    <w:p w:rsidR="00263797" w:rsidRPr="00BF652D" w:rsidRDefault="00263797" w:rsidP="009C10E8">
      <w:pPr>
        <w:numPr>
          <w:ilvl w:val="0"/>
          <w:numId w:val="15"/>
        </w:numPr>
        <w:tabs>
          <w:tab w:val="left" w:pos="1134"/>
        </w:tabs>
        <w:ind w:left="0" w:firstLine="567"/>
        <w:contextualSpacing/>
        <w:jc w:val="both"/>
      </w:pPr>
      <w:r w:rsidRPr="00BF652D">
        <w:t>Внести в кассу Банка сумму перевода и комиссию.</w:t>
      </w:r>
    </w:p>
    <w:p w:rsidR="00263797" w:rsidRPr="00BF652D" w:rsidRDefault="00263797" w:rsidP="00263797">
      <w:pPr>
        <w:jc w:val="both"/>
      </w:pPr>
      <w:r w:rsidRPr="00BF652D">
        <w:t xml:space="preserve">     Комиссия за денежный перевод взимается согласно тарифам Банка. При возврате Банку Отправителя невостребованной получателем суммы Денежного перевода сумма уплаченной Отправителем комиссии возврату не подлежит. </w:t>
      </w:r>
    </w:p>
    <w:p w:rsidR="00263797" w:rsidRPr="00BF652D" w:rsidRDefault="00263797" w:rsidP="00263797">
      <w:pPr>
        <w:jc w:val="both"/>
      </w:pPr>
    </w:p>
    <w:p w:rsidR="00263797" w:rsidRPr="00BF652D" w:rsidRDefault="00263797" w:rsidP="00263797">
      <w:pPr>
        <w:widowControl w:val="0"/>
        <w:tabs>
          <w:tab w:val="left" w:pos="8930"/>
        </w:tabs>
        <w:autoSpaceDE w:val="0"/>
        <w:autoSpaceDN w:val="0"/>
        <w:adjustRightInd w:val="0"/>
        <w:jc w:val="both"/>
        <w:rPr>
          <w:b/>
          <w:i/>
        </w:rPr>
      </w:pPr>
      <w:r w:rsidRPr="00BF652D">
        <w:rPr>
          <w:rFonts w:cs="Arial"/>
          <w:color w:val="000000"/>
        </w:rPr>
        <w:t xml:space="preserve">     </w:t>
      </w:r>
    </w:p>
    <w:p w:rsidR="00263797" w:rsidRPr="00007E13" w:rsidRDefault="00263797" w:rsidP="00263797">
      <w:pPr>
        <w:spacing w:line="480" w:lineRule="auto"/>
        <w:rPr>
          <w:color w:val="1F497D"/>
        </w:rPr>
      </w:pPr>
    </w:p>
    <w:p w:rsidR="00822601" w:rsidRDefault="00822601" w:rsidP="00822601">
      <w:pPr>
        <w:ind w:left="705" w:hanging="705"/>
        <w:jc w:val="both"/>
      </w:pPr>
    </w:p>
    <w:p w:rsidR="00822601" w:rsidRDefault="00822601" w:rsidP="00822601">
      <w:pPr>
        <w:ind w:left="705" w:hanging="705"/>
        <w:jc w:val="both"/>
      </w:pPr>
    </w:p>
    <w:p w:rsidR="00822601" w:rsidRDefault="00822601" w:rsidP="00822601">
      <w:pPr>
        <w:ind w:left="705" w:hanging="705"/>
        <w:jc w:val="both"/>
      </w:pPr>
    </w:p>
    <w:p w:rsidR="00822601" w:rsidRDefault="00822601" w:rsidP="00822601">
      <w:pPr>
        <w:ind w:left="705" w:hanging="705"/>
        <w:jc w:val="both"/>
      </w:pPr>
    </w:p>
    <w:p w:rsidR="00822601" w:rsidRDefault="00822601" w:rsidP="00822601">
      <w:pPr>
        <w:ind w:left="705" w:hanging="705"/>
        <w:jc w:val="both"/>
      </w:pPr>
    </w:p>
    <w:p w:rsidR="00822601" w:rsidRDefault="00822601" w:rsidP="00822601">
      <w:pPr>
        <w:ind w:left="705" w:hanging="705"/>
        <w:jc w:val="both"/>
      </w:pPr>
    </w:p>
    <w:p w:rsidR="00822601" w:rsidRDefault="00822601" w:rsidP="00822601">
      <w:pPr>
        <w:ind w:left="705" w:hanging="705"/>
        <w:jc w:val="both"/>
      </w:pPr>
    </w:p>
    <w:p w:rsidR="00822601" w:rsidRDefault="00822601" w:rsidP="00822601">
      <w:pPr>
        <w:ind w:left="705" w:hanging="705"/>
        <w:jc w:val="both"/>
      </w:pPr>
    </w:p>
    <w:p w:rsidR="00822601" w:rsidRDefault="00822601" w:rsidP="00822601">
      <w:pPr>
        <w:ind w:left="705" w:hanging="705"/>
        <w:jc w:val="both"/>
      </w:pPr>
    </w:p>
    <w:p w:rsidR="00822601" w:rsidRDefault="00822601" w:rsidP="00822601">
      <w:pPr>
        <w:ind w:left="705" w:hanging="705"/>
        <w:jc w:val="both"/>
      </w:pPr>
    </w:p>
    <w:p w:rsidR="00822601" w:rsidRDefault="00822601" w:rsidP="00822601">
      <w:pPr>
        <w:ind w:left="705" w:hanging="705"/>
        <w:jc w:val="both"/>
      </w:pPr>
    </w:p>
    <w:p w:rsidR="00822601" w:rsidRDefault="00822601" w:rsidP="00822601">
      <w:pPr>
        <w:ind w:left="705" w:hanging="705"/>
        <w:jc w:val="both"/>
      </w:pPr>
    </w:p>
    <w:p w:rsidR="00822601" w:rsidRDefault="00822601" w:rsidP="00822601">
      <w:pPr>
        <w:ind w:left="705" w:hanging="705"/>
        <w:jc w:val="both"/>
      </w:pPr>
    </w:p>
    <w:p w:rsidR="00822601" w:rsidRDefault="00822601" w:rsidP="00822601">
      <w:pPr>
        <w:ind w:left="705" w:hanging="705"/>
        <w:jc w:val="both"/>
      </w:pPr>
    </w:p>
    <w:p w:rsidR="00822601" w:rsidRDefault="00822601" w:rsidP="00822601">
      <w:pPr>
        <w:ind w:left="705" w:hanging="705"/>
        <w:jc w:val="both"/>
      </w:pPr>
    </w:p>
    <w:p w:rsidR="00822601" w:rsidRDefault="00822601" w:rsidP="00822601">
      <w:pPr>
        <w:ind w:left="705" w:hanging="705"/>
        <w:jc w:val="both"/>
      </w:pPr>
    </w:p>
    <w:p w:rsidR="00822601" w:rsidRDefault="00822601" w:rsidP="00822601">
      <w:pPr>
        <w:ind w:left="705" w:hanging="705"/>
        <w:jc w:val="both"/>
      </w:pPr>
    </w:p>
    <w:p w:rsidR="00822601" w:rsidRDefault="00822601" w:rsidP="00822601">
      <w:pPr>
        <w:ind w:left="705" w:hanging="705"/>
        <w:jc w:val="both"/>
      </w:pPr>
    </w:p>
    <w:p w:rsidR="00822601" w:rsidRDefault="00822601" w:rsidP="00822601">
      <w:pPr>
        <w:ind w:left="705" w:hanging="705"/>
        <w:jc w:val="both"/>
      </w:pPr>
    </w:p>
    <w:p w:rsidR="00822601" w:rsidRDefault="00822601" w:rsidP="00822601">
      <w:pPr>
        <w:ind w:left="705" w:hanging="705"/>
        <w:jc w:val="both"/>
      </w:pPr>
    </w:p>
    <w:p w:rsidR="00822601" w:rsidRDefault="00822601" w:rsidP="00822601">
      <w:pPr>
        <w:ind w:left="705" w:hanging="705"/>
        <w:jc w:val="both"/>
      </w:pPr>
    </w:p>
    <w:p w:rsidR="00822601" w:rsidRDefault="00822601" w:rsidP="00822601">
      <w:pPr>
        <w:ind w:left="705" w:hanging="705"/>
        <w:jc w:val="both"/>
      </w:pPr>
    </w:p>
    <w:p w:rsidR="00822601" w:rsidRDefault="00822601" w:rsidP="00822601">
      <w:pPr>
        <w:ind w:left="705" w:hanging="705"/>
        <w:jc w:val="both"/>
      </w:pPr>
    </w:p>
    <w:p w:rsidR="00822601" w:rsidRDefault="00822601" w:rsidP="00822601">
      <w:pPr>
        <w:ind w:left="705" w:hanging="705"/>
        <w:jc w:val="both"/>
      </w:pPr>
    </w:p>
    <w:p w:rsidR="00822601" w:rsidRDefault="00822601" w:rsidP="00822601">
      <w:pPr>
        <w:ind w:left="705" w:hanging="705"/>
        <w:jc w:val="both"/>
      </w:pPr>
    </w:p>
    <w:sectPr w:rsidR="00822601" w:rsidSect="00263797">
      <w:headerReference w:type="default" r:id="rId9"/>
      <w:footerReference w:type="default" r:id="rId10"/>
      <w:pgSz w:w="11906" w:h="16838"/>
      <w:pgMar w:top="0" w:right="1133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BBA" w:rsidRDefault="00103BBA" w:rsidP="00E1344D">
      <w:r>
        <w:separator/>
      </w:r>
    </w:p>
  </w:endnote>
  <w:endnote w:type="continuationSeparator" w:id="0">
    <w:p w:rsidR="00103BBA" w:rsidRDefault="00103BBA" w:rsidP="00E1344D">
      <w:r>
        <w:continuationSeparator/>
      </w:r>
    </w:p>
  </w:endnote>
  <w:endnote w:type="continuationNotice" w:id="1">
    <w:p w:rsidR="00103BBA" w:rsidRDefault="00103B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729" w:rsidRDefault="001F372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BBA" w:rsidRDefault="00103BBA" w:rsidP="00E1344D">
      <w:r>
        <w:separator/>
      </w:r>
    </w:p>
  </w:footnote>
  <w:footnote w:type="continuationSeparator" w:id="0">
    <w:p w:rsidR="00103BBA" w:rsidRDefault="00103BBA" w:rsidP="00E1344D">
      <w:r>
        <w:continuationSeparator/>
      </w:r>
    </w:p>
  </w:footnote>
  <w:footnote w:type="continuationNotice" w:id="1">
    <w:p w:rsidR="00103BBA" w:rsidRDefault="00103B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729" w:rsidRDefault="001F372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43F1"/>
    <w:multiLevelType w:val="hybridMultilevel"/>
    <w:tmpl w:val="172EBE96"/>
    <w:lvl w:ilvl="0" w:tplc="00000003">
      <w:start w:val="1"/>
      <w:numFmt w:val="bullet"/>
      <w:lvlText w:val="-"/>
      <w:lvlJc w:val="left"/>
      <w:pPr>
        <w:tabs>
          <w:tab w:val="num" w:pos="1247"/>
        </w:tabs>
        <w:ind w:left="1247" w:hanging="567"/>
      </w:pPr>
      <w:rPr>
        <w:rFonts w:ascii="Times New Roman" w:hAnsi="Times New Roman" w:cs="Times New Roman" w:hint="default"/>
        <w:b/>
        <w:color w:val="00008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B5ADF"/>
    <w:multiLevelType w:val="hybridMultilevel"/>
    <w:tmpl w:val="8FC4D67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1662A5"/>
    <w:multiLevelType w:val="hybridMultilevel"/>
    <w:tmpl w:val="582035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0C64FA"/>
    <w:multiLevelType w:val="hybridMultilevel"/>
    <w:tmpl w:val="3EBE73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9BF7377"/>
    <w:multiLevelType w:val="multilevel"/>
    <w:tmpl w:val="D374BCF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765"/>
      </w:pPr>
      <w:rPr>
        <w:rFonts w:ascii="Courier New" w:hAnsi="Courier New" w:hint="default"/>
        <w:b w:val="0"/>
        <w:i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D120304"/>
    <w:multiLevelType w:val="hybridMultilevel"/>
    <w:tmpl w:val="E05CE3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8C49D3"/>
    <w:multiLevelType w:val="hybridMultilevel"/>
    <w:tmpl w:val="7D0E246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07777B6"/>
    <w:multiLevelType w:val="hybridMultilevel"/>
    <w:tmpl w:val="F932A5A0"/>
    <w:lvl w:ilvl="0" w:tplc="6A4E949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697897"/>
    <w:multiLevelType w:val="hybridMultilevel"/>
    <w:tmpl w:val="1CF67C6C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9">
    <w:nsid w:val="3B8815A6"/>
    <w:multiLevelType w:val="hybridMultilevel"/>
    <w:tmpl w:val="644296F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2C21F0F"/>
    <w:multiLevelType w:val="hybridMultilevel"/>
    <w:tmpl w:val="882C8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D74D6C"/>
    <w:multiLevelType w:val="hybridMultilevel"/>
    <w:tmpl w:val="695A2FDE"/>
    <w:lvl w:ilvl="0" w:tplc="6F5A37C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5883707D"/>
    <w:multiLevelType w:val="hybridMultilevel"/>
    <w:tmpl w:val="A2505FAA"/>
    <w:lvl w:ilvl="0" w:tplc="DA3E2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2748048">
      <w:start w:val="1"/>
      <w:numFmt w:val="decimal"/>
      <w:lvlText w:val="%2."/>
      <w:lvlJc w:val="left"/>
      <w:pPr>
        <w:ind w:left="285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EE52E3"/>
    <w:multiLevelType w:val="hybridMultilevel"/>
    <w:tmpl w:val="4832326A"/>
    <w:lvl w:ilvl="0" w:tplc="A9F6D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546CDA"/>
    <w:multiLevelType w:val="hybridMultilevel"/>
    <w:tmpl w:val="CD8615AC"/>
    <w:lvl w:ilvl="0" w:tplc="E682CC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2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5"/>
  </w:num>
  <w:num w:numId="12">
    <w:abstractNumId w:val="0"/>
  </w:num>
  <w:num w:numId="13">
    <w:abstractNumId w:val="14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F0"/>
    <w:rsid w:val="00004A4D"/>
    <w:rsid w:val="00005B60"/>
    <w:rsid w:val="0001250F"/>
    <w:rsid w:val="00012620"/>
    <w:rsid w:val="00016BEE"/>
    <w:rsid w:val="00021733"/>
    <w:rsid w:val="0004188E"/>
    <w:rsid w:val="00042CC6"/>
    <w:rsid w:val="0004446C"/>
    <w:rsid w:val="00047D60"/>
    <w:rsid w:val="00047F57"/>
    <w:rsid w:val="00053E31"/>
    <w:rsid w:val="00075CF3"/>
    <w:rsid w:val="00085A80"/>
    <w:rsid w:val="00091CC0"/>
    <w:rsid w:val="00091E22"/>
    <w:rsid w:val="0009218E"/>
    <w:rsid w:val="00093F60"/>
    <w:rsid w:val="00094BC4"/>
    <w:rsid w:val="000A16D3"/>
    <w:rsid w:val="000A372E"/>
    <w:rsid w:val="000A68AF"/>
    <w:rsid w:val="000B1262"/>
    <w:rsid w:val="000B135C"/>
    <w:rsid w:val="000B3F4C"/>
    <w:rsid w:val="000B4321"/>
    <w:rsid w:val="000B7234"/>
    <w:rsid w:val="000C60C2"/>
    <w:rsid w:val="000D1357"/>
    <w:rsid w:val="000D5748"/>
    <w:rsid w:val="000D626D"/>
    <w:rsid w:val="000D6B9B"/>
    <w:rsid w:val="000E256D"/>
    <w:rsid w:val="000E2589"/>
    <w:rsid w:val="000E7594"/>
    <w:rsid w:val="000F0C8B"/>
    <w:rsid w:val="000F14CE"/>
    <w:rsid w:val="000F67B1"/>
    <w:rsid w:val="00103BBA"/>
    <w:rsid w:val="00111590"/>
    <w:rsid w:val="00117E86"/>
    <w:rsid w:val="00120962"/>
    <w:rsid w:val="0013157D"/>
    <w:rsid w:val="00132FCA"/>
    <w:rsid w:val="00133B5F"/>
    <w:rsid w:val="00134973"/>
    <w:rsid w:val="00142E0F"/>
    <w:rsid w:val="00155B1B"/>
    <w:rsid w:val="001629D1"/>
    <w:rsid w:val="00167D8A"/>
    <w:rsid w:val="00176726"/>
    <w:rsid w:val="00191A36"/>
    <w:rsid w:val="001A4350"/>
    <w:rsid w:val="001A5EC8"/>
    <w:rsid w:val="001A7DB2"/>
    <w:rsid w:val="001B3938"/>
    <w:rsid w:val="001B3A16"/>
    <w:rsid w:val="001B593A"/>
    <w:rsid w:val="001C1E52"/>
    <w:rsid w:val="001C21AB"/>
    <w:rsid w:val="001C4F9E"/>
    <w:rsid w:val="001C6E2A"/>
    <w:rsid w:val="001E3ADD"/>
    <w:rsid w:val="001F1EB5"/>
    <w:rsid w:val="001F3729"/>
    <w:rsid w:val="00200E5D"/>
    <w:rsid w:val="00201AB4"/>
    <w:rsid w:val="00203251"/>
    <w:rsid w:val="00212B80"/>
    <w:rsid w:val="002154FD"/>
    <w:rsid w:val="00222A5F"/>
    <w:rsid w:val="00224564"/>
    <w:rsid w:val="002269DE"/>
    <w:rsid w:val="00231C92"/>
    <w:rsid w:val="00235DFD"/>
    <w:rsid w:val="002377DA"/>
    <w:rsid w:val="00237FB5"/>
    <w:rsid w:val="002403CE"/>
    <w:rsid w:val="0024102C"/>
    <w:rsid w:val="00241C4E"/>
    <w:rsid w:val="00247E2D"/>
    <w:rsid w:val="0026180A"/>
    <w:rsid w:val="00263797"/>
    <w:rsid w:val="00267B4D"/>
    <w:rsid w:val="002716DF"/>
    <w:rsid w:val="00271E85"/>
    <w:rsid w:val="00280120"/>
    <w:rsid w:val="0028349A"/>
    <w:rsid w:val="00292D70"/>
    <w:rsid w:val="002938DC"/>
    <w:rsid w:val="002A04A3"/>
    <w:rsid w:val="002B2085"/>
    <w:rsid w:val="002C10A2"/>
    <w:rsid w:val="002C2D3D"/>
    <w:rsid w:val="002D0103"/>
    <w:rsid w:val="002D054A"/>
    <w:rsid w:val="002D4011"/>
    <w:rsid w:val="002F01C7"/>
    <w:rsid w:val="00312BB0"/>
    <w:rsid w:val="003161FA"/>
    <w:rsid w:val="00317702"/>
    <w:rsid w:val="00317E46"/>
    <w:rsid w:val="0032523B"/>
    <w:rsid w:val="00325350"/>
    <w:rsid w:val="003266CC"/>
    <w:rsid w:val="00327BEA"/>
    <w:rsid w:val="00336577"/>
    <w:rsid w:val="0033745A"/>
    <w:rsid w:val="0033760B"/>
    <w:rsid w:val="00342BA6"/>
    <w:rsid w:val="00343798"/>
    <w:rsid w:val="00350CE6"/>
    <w:rsid w:val="0035755F"/>
    <w:rsid w:val="003652E3"/>
    <w:rsid w:val="00371F7B"/>
    <w:rsid w:val="00382399"/>
    <w:rsid w:val="003A3552"/>
    <w:rsid w:val="003B105E"/>
    <w:rsid w:val="003B6FA1"/>
    <w:rsid w:val="003C64CB"/>
    <w:rsid w:val="003E5E01"/>
    <w:rsid w:val="003F3BAC"/>
    <w:rsid w:val="00402261"/>
    <w:rsid w:val="0041083E"/>
    <w:rsid w:val="00412DE8"/>
    <w:rsid w:val="00416906"/>
    <w:rsid w:val="004169AE"/>
    <w:rsid w:val="00424EFA"/>
    <w:rsid w:val="00441405"/>
    <w:rsid w:val="004448E1"/>
    <w:rsid w:val="00451F94"/>
    <w:rsid w:val="00455A06"/>
    <w:rsid w:val="00465F9A"/>
    <w:rsid w:val="004750F9"/>
    <w:rsid w:val="00481881"/>
    <w:rsid w:val="004824C9"/>
    <w:rsid w:val="00491EA1"/>
    <w:rsid w:val="0049641D"/>
    <w:rsid w:val="004A54A8"/>
    <w:rsid w:val="004A6EB3"/>
    <w:rsid w:val="004B5B06"/>
    <w:rsid w:val="004C1752"/>
    <w:rsid w:val="004C2D1E"/>
    <w:rsid w:val="004C3E93"/>
    <w:rsid w:val="004C4055"/>
    <w:rsid w:val="004C7374"/>
    <w:rsid w:val="004C7D8F"/>
    <w:rsid w:val="004D03FC"/>
    <w:rsid w:val="004E0C7D"/>
    <w:rsid w:val="004E559E"/>
    <w:rsid w:val="004E68EB"/>
    <w:rsid w:val="004F3397"/>
    <w:rsid w:val="004F4D1A"/>
    <w:rsid w:val="0050100A"/>
    <w:rsid w:val="0051012E"/>
    <w:rsid w:val="00512647"/>
    <w:rsid w:val="00516760"/>
    <w:rsid w:val="00517561"/>
    <w:rsid w:val="00517FD7"/>
    <w:rsid w:val="005329FD"/>
    <w:rsid w:val="00542535"/>
    <w:rsid w:val="0054344A"/>
    <w:rsid w:val="00556815"/>
    <w:rsid w:val="00565520"/>
    <w:rsid w:val="005655AC"/>
    <w:rsid w:val="00566F6E"/>
    <w:rsid w:val="0057495F"/>
    <w:rsid w:val="00577366"/>
    <w:rsid w:val="0059024B"/>
    <w:rsid w:val="00591B84"/>
    <w:rsid w:val="005A08AD"/>
    <w:rsid w:val="005A2420"/>
    <w:rsid w:val="005B2B01"/>
    <w:rsid w:val="005C3256"/>
    <w:rsid w:val="005D4F4C"/>
    <w:rsid w:val="005E5703"/>
    <w:rsid w:val="005E74B3"/>
    <w:rsid w:val="00600A66"/>
    <w:rsid w:val="00601B65"/>
    <w:rsid w:val="006033D0"/>
    <w:rsid w:val="00605FFD"/>
    <w:rsid w:val="00606FF3"/>
    <w:rsid w:val="00607335"/>
    <w:rsid w:val="006159DC"/>
    <w:rsid w:val="006235A1"/>
    <w:rsid w:val="006307C3"/>
    <w:rsid w:val="00643C7D"/>
    <w:rsid w:val="00653BFA"/>
    <w:rsid w:val="0065497A"/>
    <w:rsid w:val="00662898"/>
    <w:rsid w:val="00663E3B"/>
    <w:rsid w:val="00673088"/>
    <w:rsid w:val="006736CA"/>
    <w:rsid w:val="006750A4"/>
    <w:rsid w:val="00675594"/>
    <w:rsid w:val="00676981"/>
    <w:rsid w:val="006A7530"/>
    <w:rsid w:val="006B305A"/>
    <w:rsid w:val="006C111D"/>
    <w:rsid w:val="006C4FC7"/>
    <w:rsid w:val="006D0874"/>
    <w:rsid w:val="006D244B"/>
    <w:rsid w:val="006E01D6"/>
    <w:rsid w:val="006F079F"/>
    <w:rsid w:val="00700A09"/>
    <w:rsid w:val="007101B6"/>
    <w:rsid w:val="00711171"/>
    <w:rsid w:val="00724A8F"/>
    <w:rsid w:val="00727609"/>
    <w:rsid w:val="00733EEB"/>
    <w:rsid w:val="00734111"/>
    <w:rsid w:val="00734E7C"/>
    <w:rsid w:val="007350B2"/>
    <w:rsid w:val="0073514E"/>
    <w:rsid w:val="00746CCE"/>
    <w:rsid w:val="00746D5E"/>
    <w:rsid w:val="00751365"/>
    <w:rsid w:val="00760368"/>
    <w:rsid w:val="007722B2"/>
    <w:rsid w:val="007722E7"/>
    <w:rsid w:val="007733AF"/>
    <w:rsid w:val="007835F8"/>
    <w:rsid w:val="0078724B"/>
    <w:rsid w:val="00787D0C"/>
    <w:rsid w:val="007B72D0"/>
    <w:rsid w:val="007C1FC1"/>
    <w:rsid w:val="007C37CB"/>
    <w:rsid w:val="007C3940"/>
    <w:rsid w:val="007C3ABD"/>
    <w:rsid w:val="007D1901"/>
    <w:rsid w:val="007E69A7"/>
    <w:rsid w:val="007F467F"/>
    <w:rsid w:val="00800765"/>
    <w:rsid w:val="0080276A"/>
    <w:rsid w:val="00822601"/>
    <w:rsid w:val="0082516F"/>
    <w:rsid w:val="00835697"/>
    <w:rsid w:val="008535BE"/>
    <w:rsid w:val="008536BC"/>
    <w:rsid w:val="008552BC"/>
    <w:rsid w:val="008612AA"/>
    <w:rsid w:val="00866103"/>
    <w:rsid w:val="00871598"/>
    <w:rsid w:val="008954E7"/>
    <w:rsid w:val="0089560A"/>
    <w:rsid w:val="00895C87"/>
    <w:rsid w:val="008A20CA"/>
    <w:rsid w:val="008A31D8"/>
    <w:rsid w:val="008B4881"/>
    <w:rsid w:val="008B54CA"/>
    <w:rsid w:val="008C7849"/>
    <w:rsid w:val="008E0A99"/>
    <w:rsid w:val="008E2672"/>
    <w:rsid w:val="008F0C09"/>
    <w:rsid w:val="008F1D5C"/>
    <w:rsid w:val="00903E27"/>
    <w:rsid w:val="0092119E"/>
    <w:rsid w:val="00925E20"/>
    <w:rsid w:val="00931659"/>
    <w:rsid w:val="00937481"/>
    <w:rsid w:val="009449CE"/>
    <w:rsid w:val="00944B7A"/>
    <w:rsid w:val="0096137B"/>
    <w:rsid w:val="00961B69"/>
    <w:rsid w:val="009672A2"/>
    <w:rsid w:val="009741D6"/>
    <w:rsid w:val="00974423"/>
    <w:rsid w:val="00975ADD"/>
    <w:rsid w:val="00981D7A"/>
    <w:rsid w:val="009833B1"/>
    <w:rsid w:val="00983B0E"/>
    <w:rsid w:val="00985F6A"/>
    <w:rsid w:val="00987973"/>
    <w:rsid w:val="009A3EB6"/>
    <w:rsid w:val="009A692E"/>
    <w:rsid w:val="009B686D"/>
    <w:rsid w:val="009C10E8"/>
    <w:rsid w:val="009C4159"/>
    <w:rsid w:val="009C5340"/>
    <w:rsid w:val="009D0027"/>
    <w:rsid w:val="009D3725"/>
    <w:rsid w:val="00A13FC1"/>
    <w:rsid w:val="00A170F0"/>
    <w:rsid w:val="00A20440"/>
    <w:rsid w:val="00A227B2"/>
    <w:rsid w:val="00A34F1D"/>
    <w:rsid w:val="00A453B3"/>
    <w:rsid w:val="00A46AA4"/>
    <w:rsid w:val="00A5726B"/>
    <w:rsid w:val="00A57956"/>
    <w:rsid w:val="00A67C8F"/>
    <w:rsid w:val="00A7572F"/>
    <w:rsid w:val="00A80B2A"/>
    <w:rsid w:val="00A84A40"/>
    <w:rsid w:val="00AA51B7"/>
    <w:rsid w:val="00AC05DE"/>
    <w:rsid w:val="00AD193C"/>
    <w:rsid w:val="00AE60C2"/>
    <w:rsid w:val="00AF5CE7"/>
    <w:rsid w:val="00B02863"/>
    <w:rsid w:val="00B04661"/>
    <w:rsid w:val="00B06520"/>
    <w:rsid w:val="00B128A5"/>
    <w:rsid w:val="00B20B1E"/>
    <w:rsid w:val="00B21FD3"/>
    <w:rsid w:val="00B25D8A"/>
    <w:rsid w:val="00B33C6E"/>
    <w:rsid w:val="00B43124"/>
    <w:rsid w:val="00B6202A"/>
    <w:rsid w:val="00B74946"/>
    <w:rsid w:val="00B75A60"/>
    <w:rsid w:val="00B84221"/>
    <w:rsid w:val="00B93E8C"/>
    <w:rsid w:val="00BA2C90"/>
    <w:rsid w:val="00BA3931"/>
    <w:rsid w:val="00BA5E02"/>
    <w:rsid w:val="00BB569F"/>
    <w:rsid w:val="00BC1788"/>
    <w:rsid w:val="00BC1F5E"/>
    <w:rsid w:val="00BD4F9D"/>
    <w:rsid w:val="00BF6AD2"/>
    <w:rsid w:val="00C167AA"/>
    <w:rsid w:val="00C1703D"/>
    <w:rsid w:val="00C30086"/>
    <w:rsid w:val="00C342DD"/>
    <w:rsid w:val="00C367CD"/>
    <w:rsid w:val="00C36F4B"/>
    <w:rsid w:val="00C41241"/>
    <w:rsid w:val="00C42FEA"/>
    <w:rsid w:val="00C45723"/>
    <w:rsid w:val="00C52417"/>
    <w:rsid w:val="00C550C3"/>
    <w:rsid w:val="00C60FB1"/>
    <w:rsid w:val="00C64957"/>
    <w:rsid w:val="00C65935"/>
    <w:rsid w:val="00C67796"/>
    <w:rsid w:val="00C72781"/>
    <w:rsid w:val="00C760F7"/>
    <w:rsid w:val="00C8176E"/>
    <w:rsid w:val="00C92568"/>
    <w:rsid w:val="00C977C7"/>
    <w:rsid w:val="00C97E9A"/>
    <w:rsid w:val="00CA0A8B"/>
    <w:rsid w:val="00CB3F63"/>
    <w:rsid w:val="00CC15D4"/>
    <w:rsid w:val="00CD53BD"/>
    <w:rsid w:val="00CE3C3C"/>
    <w:rsid w:val="00CF52A1"/>
    <w:rsid w:val="00CF65ED"/>
    <w:rsid w:val="00D01BED"/>
    <w:rsid w:val="00D06B6A"/>
    <w:rsid w:val="00D07935"/>
    <w:rsid w:val="00D102D3"/>
    <w:rsid w:val="00D1665B"/>
    <w:rsid w:val="00D27785"/>
    <w:rsid w:val="00D33599"/>
    <w:rsid w:val="00D35B04"/>
    <w:rsid w:val="00D36D7A"/>
    <w:rsid w:val="00D56599"/>
    <w:rsid w:val="00D56EA2"/>
    <w:rsid w:val="00D5740F"/>
    <w:rsid w:val="00D62EB1"/>
    <w:rsid w:val="00D75C97"/>
    <w:rsid w:val="00D852C8"/>
    <w:rsid w:val="00D933F1"/>
    <w:rsid w:val="00D96DBE"/>
    <w:rsid w:val="00DA149E"/>
    <w:rsid w:val="00DA15AD"/>
    <w:rsid w:val="00DA3AB7"/>
    <w:rsid w:val="00DB2515"/>
    <w:rsid w:val="00DB3606"/>
    <w:rsid w:val="00DB3909"/>
    <w:rsid w:val="00DC05D8"/>
    <w:rsid w:val="00DD3680"/>
    <w:rsid w:val="00DD7523"/>
    <w:rsid w:val="00DE0C6A"/>
    <w:rsid w:val="00DE66D1"/>
    <w:rsid w:val="00E013C7"/>
    <w:rsid w:val="00E07A13"/>
    <w:rsid w:val="00E11F26"/>
    <w:rsid w:val="00E1344D"/>
    <w:rsid w:val="00E15610"/>
    <w:rsid w:val="00E17833"/>
    <w:rsid w:val="00E2041E"/>
    <w:rsid w:val="00E20AE1"/>
    <w:rsid w:val="00E221D9"/>
    <w:rsid w:val="00E22C5D"/>
    <w:rsid w:val="00E34CC2"/>
    <w:rsid w:val="00E37E43"/>
    <w:rsid w:val="00E45706"/>
    <w:rsid w:val="00E4766D"/>
    <w:rsid w:val="00E52C28"/>
    <w:rsid w:val="00E55612"/>
    <w:rsid w:val="00E63DAA"/>
    <w:rsid w:val="00E66C04"/>
    <w:rsid w:val="00E7396E"/>
    <w:rsid w:val="00E92B05"/>
    <w:rsid w:val="00EA0D69"/>
    <w:rsid w:val="00EB448B"/>
    <w:rsid w:val="00EC4C6C"/>
    <w:rsid w:val="00EC7921"/>
    <w:rsid w:val="00ED23DB"/>
    <w:rsid w:val="00ED6DFF"/>
    <w:rsid w:val="00EE0210"/>
    <w:rsid w:val="00EE15C5"/>
    <w:rsid w:val="00EE5034"/>
    <w:rsid w:val="00EE65CE"/>
    <w:rsid w:val="00EF02CB"/>
    <w:rsid w:val="00EF5248"/>
    <w:rsid w:val="00EF5AF1"/>
    <w:rsid w:val="00EF6E5D"/>
    <w:rsid w:val="00EF72C7"/>
    <w:rsid w:val="00F03C2E"/>
    <w:rsid w:val="00F11D57"/>
    <w:rsid w:val="00F23812"/>
    <w:rsid w:val="00F2560C"/>
    <w:rsid w:val="00F26082"/>
    <w:rsid w:val="00F2642A"/>
    <w:rsid w:val="00F32026"/>
    <w:rsid w:val="00F535AE"/>
    <w:rsid w:val="00F6289A"/>
    <w:rsid w:val="00F66E6A"/>
    <w:rsid w:val="00F7021D"/>
    <w:rsid w:val="00F767C7"/>
    <w:rsid w:val="00F82826"/>
    <w:rsid w:val="00F84476"/>
    <w:rsid w:val="00FA388E"/>
    <w:rsid w:val="00FA7C7F"/>
    <w:rsid w:val="00FB24F7"/>
    <w:rsid w:val="00FB25CA"/>
    <w:rsid w:val="00FB6B3E"/>
    <w:rsid w:val="00FB7992"/>
    <w:rsid w:val="00FC0101"/>
    <w:rsid w:val="00FC3BD1"/>
    <w:rsid w:val="00FC5D31"/>
    <w:rsid w:val="00FD49FB"/>
    <w:rsid w:val="00FD76F6"/>
    <w:rsid w:val="00FE2B64"/>
    <w:rsid w:val="00FE33EB"/>
    <w:rsid w:val="00FE44FF"/>
    <w:rsid w:val="00FF0762"/>
    <w:rsid w:val="00FF3302"/>
    <w:rsid w:val="00F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2AA0790-10C4-49A6-B732-12E78FC5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napToGrid w:val="0"/>
      <w:szCs w:val="20"/>
    </w:rPr>
  </w:style>
  <w:style w:type="paragraph" w:styleId="8">
    <w:name w:val="heading 8"/>
    <w:basedOn w:val="a"/>
    <w:next w:val="a"/>
    <w:qFormat/>
    <w:pPr>
      <w:keepNext/>
      <w:pBdr>
        <w:top w:val="single" w:sz="6" w:space="3" w:color="auto"/>
      </w:pBdr>
      <w:jc w:val="center"/>
      <w:outlineLvl w:val="7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 w:val="0"/>
      <w:ind w:firstLine="720"/>
      <w:jc w:val="both"/>
    </w:pPr>
    <w:rPr>
      <w:snapToGrid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27B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27BE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83B0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1665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1665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1665B"/>
  </w:style>
  <w:style w:type="paragraph" w:styleId="aa">
    <w:name w:val="annotation subject"/>
    <w:basedOn w:val="a8"/>
    <w:next w:val="a8"/>
    <w:link w:val="ab"/>
    <w:uiPriority w:val="99"/>
    <w:semiHidden/>
    <w:unhideWhenUsed/>
    <w:rsid w:val="00D1665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1665B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E1344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1344D"/>
  </w:style>
  <w:style w:type="character" w:styleId="ae">
    <w:name w:val="footnote reference"/>
    <w:basedOn w:val="a0"/>
    <w:uiPriority w:val="99"/>
    <w:semiHidden/>
    <w:unhideWhenUsed/>
    <w:rsid w:val="00E1344D"/>
    <w:rPr>
      <w:vertAlign w:val="superscript"/>
    </w:rPr>
  </w:style>
  <w:style w:type="paragraph" w:styleId="af">
    <w:name w:val="List Paragraph"/>
    <w:basedOn w:val="a"/>
    <w:uiPriority w:val="34"/>
    <w:qFormat/>
    <w:rsid w:val="00DD7523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1F372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F3729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1F372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F3729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42F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2F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307C8-4923-428F-892F-5BE60625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Московского</vt:lpstr>
    </vt:vector>
  </TitlesOfParts>
  <Company>MBRD</Company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Московского</dc:title>
  <dc:creator>zhal</dc:creator>
  <cp:lastModifiedBy>Забабуркина Ирина Игоревна</cp:lastModifiedBy>
  <cp:revision>4</cp:revision>
  <cp:lastPrinted>2020-11-19T12:09:00Z</cp:lastPrinted>
  <dcterms:created xsi:type="dcterms:W3CDTF">2024-01-10T07:54:00Z</dcterms:created>
  <dcterms:modified xsi:type="dcterms:W3CDTF">2024-01-10T07:58:00Z</dcterms:modified>
</cp:coreProperties>
</file>